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2013/403 vom 27. Juli 2015</w:t>
      </w:r>
    </w:p>
    <w:p>
      <w:r>
        <w:t>Sg Versicherungsgericht, 2015-07-27, DE</w:t>
      </w:r>
    </w:p>
    <w:p>
      <w:r>
        <w:rPr>
          <w:b/>
        </w:rPr>
        <w:t xml:space="preserve">Quelle: </w:t>
      </w:r>
      <w:r>
        <w:t>https://mcp.opencaselaw.ch/entscheid/sg_publikationen_IV 2013_403</w:t>
      </w:r>
    </w:p>
    <w:p>
      <w:r>
        <w:t>FR: SG_VERSICHERUNGSGERICHT IV 2013/403 du 27 juillet 2015</w:t>
      </w:r>
    </w:p>
    <w:p>
      <w:r>
        <w:t>IT: SG_VERSICHERUNGSGERICHT IV 2013/403 del 27 luglio 2015</w:t>
      </w:r>
    </w:p>
    <w:p>
      <w:pPr>
        <w:pStyle w:val="Heading2"/>
      </w:pPr>
      <w:r>
        <w:t>Regeste</w:t>
      </w:r>
    </w:p>
    <w:p>
      <w:r>
        <w:t>Art. 21 Abs. 2 IVG. Bauliche Massnahmen für Heimbewohner. Auslegung des Art. 21 Abs. 2 IVG hinsichtlich der Frage, ob Heimbewohner einen Anspruch auf Hilfsmittel in der Form baulicher Massnahmen an einem Ort ausserhalb des Heims haben, an dem sie sich regelmässig aufhalten wollen (Entscheid des Versicherungsgerichts des Kantons St. Gallen vom 27. Juli 2015, IV 2013/403). Aufgehoben durch Urteil des Bundesgerichts 9C_640/2015.</w:t>
      </w:r>
    </w:p>
    <w:p>
      <w:pPr>
        <w:pStyle w:val="Heading2"/>
      </w:pPr>
      <w:r>
        <w:t>Erwägungen</w:t>
      </w:r>
    </w:p>
    <w:p>
      <w:r>
        <w:rPr>
          <w:b/>
        </w:rPr>
        <w:t>E. 2</w:t>
      </w:r>
    </w:p>
    <w:p>
      <w:r>
        <w:t>Die Beschwerdegegnerin hat die Gerichtskosten von Fr. 600.-- zu bezahlen; dem Beschwerdeführer wird der von ihm geleistete Kostenvorschuss von Fr. 600.-- zurücker­stattet.</w:t>
      </w:r>
    </w:p>
    <w:p>
      <w:r>
        <w:rPr>
          <w:b/>
        </w:rPr>
        <w:t>E. 3</w:t>
      </w:r>
    </w:p>
    <w:p>
      <w:r>
        <w:t>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